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tblLook w:val="01E0" w:firstRow="1" w:lastRow="1" w:firstColumn="1" w:lastColumn="1" w:noHBand="0" w:noVBand="0"/>
      </w:tblPr>
      <w:tblGrid>
        <w:gridCol w:w="743"/>
        <w:gridCol w:w="2506"/>
        <w:gridCol w:w="5571"/>
      </w:tblGrid>
      <w:tr w:rsidR="00183A24" w:rsidTr="00392333">
        <w:tc>
          <w:tcPr>
            <w:tcW w:w="743" w:type="dxa"/>
          </w:tcPr>
          <w:p w:rsidR="00183A24" w:rsidRDefault="00183A24" w:rsidP="00392333">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183A24" w:rsidRDefault="00183A24" w:rsidP="00392333">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183A24" w:rsidRDefault="00183A24" w:rsidP="00392333">
            <w:pPr>
              <w:rPr>
                <w:rFonts w:ascii="Arial" w:hAnsi="Arial" w:cs="FrankRuehl"/>
                <w:sz w:val="28"/>
                <w:szCs w:val="28"/>
                <w:highlight w:val="yellow"/>
              </w:rPr>
            </w:pPr>
          </w:p>
        </w:tc>
      </w:tr>
      <w:tr w:rsidR="00183A24" w:rsidTr="00392333">
        <w:tc>
          <w:tcPr>
            <w:tcW w:w="3249" w:type="dxa"/>
            <w:gridSpan w:val="2"/>
          </w:tcPr>
          <w:p w:rsidR="00183A24" w:rsidRDefault="00183A24" w:rsidP="00392333">
            <w:pPr>
              <w:bidi w:val="0"/>
              <w:jc w:val="right"/>
              <w:rPr>
                <w:rFonts w:ascii="Arial" w:hAnsi="Arial"/>
                <w:b/>
                <w:bCs/>
                <w:noProof w:val="0"/>
                <w:sz w:val="26"/>
                <w:szCs w:val="26"/>
              </w:rPr>
            </w:pPr>
          </w:p>
          <w:sdt>
            <w:sdtPr>
              <w:alias w:val="1180"/>
              <w:tag w:val="1180"/>
              <w:id w:val="2064520869"/>
              <w:text w:multiLine="1"/>
            </w:sdtPr>
            <w:sdtEndPr/>
            <w:sdtContent>
              <w:p w:rsidR="00183A24" w:rsidRDefault="00183A24" w:rsidP="00392333">
                <w:pPr>
                  <w:bidi w:val="0"/>
                  <w:jc w:val="right"/>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183A24" w:rsidRDefault="00183A24" w:rsidP="00392333">
            <w:pPr>
              <w:rPr>
                <w:rFonts w:ascii="Arial" w:hAnsi="Arial"/>
                <w:b/>
                <w:bCs/>
                <w:noProof w:val="0"/>
                <w:sz w:val="26"/>
                <w:szCs w:val="26"/>
              </w:rPr>
            </w:pPr>
          </w:p>
          <w:p w:rsidR="00183A24" w:rsidRDefault="009F793C" w:rsidP="00392333">
            <w:pPr>
              <w:rPr>
                <w:b/>
                <w:bCs/>
                <w:noProof w:val="0"/>
                <w:sz w:val="26"/>
                <w:szCs w:val="26"/>
              </w:rPr>
            </w:pPr>
            <w:r>
              <w:rPr>
                <w:rFonts w:ascii="Arial" w:hAnsi="Arial" w:hint="cs"/>
                <w:b/>
                <w:bCs/>
                <w:noProof w:val="0"/>
                <w:sz w:val="26"/>
                <w:szCs w:val="26"/>
                <w:rtl/>
              </w:rPr>
              <w:t>פלונית</w:t>
            </w:r>
          </w:p>
        </w:tc>
      </w:tr>
      <w:tr w:rsidR="00183A24" w:rsidTr="00392333">
        <w:tc>
          <w:tcPr>
            <w:tcW w:w="8820" w:type="dxa"/>
            <w:gridSpan w:val="3"/>
          </w:tcPr>
          <w:p w:rsidR="00183A24" w:rsidRDefault="00183A24" w:rsidP="00392333">
            <w:pPr>
              <w:rPr>
                <w:rFonts w:ascii="Arial" w:hAnsi="Arial"/>
                <w:b/>
                <w:bCs/>
                <w:noProof w:val="0"/>
                <w:sz w:val="26"/>
                <w:szCs w:val="26"/>
                <w:rtl/>
              </w:rPr>
            </w:pPr>
          </w:p>
          <w:p w:rsidR="00183A24" w:rsidRDefault="00183A24" w:rsidP="00392333">
            <w:pPr>
              <w:jc w:val="center"/>
              <w:rPr>
                <w:rFonts w:ascii="Arial" w:hAnsi="Arial"/>
                <w:b/>
                <w:bCs/>
                <w:noProof w:val="0"/>
                <w:sz w:val="26"/>
                <w:szCs w:val="26"/>
                <w:rtl/>
              </w:rPr>
            </w:pPr>
            <w:r>
              <w:rPr>
                <w:rFonts w:ascii="Arial" w:hAnsi="Arial"/>
                <w:b/>
                <w:bCs/>
                <w:noProof w:val="0"/>
                <w:sz w:val="26"/>
                <w:szCs w:val="26"/>
                <w:rtl/>
              </w:rPr>
              <w:t>נגד</w:t>
            </w:r>
          </w:p>
          <w:p w:rsidR="00183A24" w:rsidRDefault="00183A24" w:rsidP="00392333">
            <w:pPr>
              <w:rPr>
                <w:rFonts w:ascii="Arial" w:hAnsi="Arial"/>
                <w:b/>
                <w:bCs/>
                <w:noProof w:val="0"/>
                <w:sz w:val="26"/>
                <w:szCs w:val="26"/>
              </w:rPr>
            </w:pPr>
          </w:p>
        </w:tc>
      </w:tr>
      <w:tr w:rsidR="00183A24" w:rsidTr="00392333">
        <w:tc>
          <w:tcPr>
            <w:tcW w:w="3249" w:type="dxa"/>
            <w:gridSpan w:val="2"/>
          </w:tcPr>
          <w:p w:rsidR="00183A24" w:rsidRDefault="00183A24" w:rsidP="00392333">
            <w:pPr>
              <w:rPr>
                <w:rFonts w:ascii="Arial" w:hAnsi="Arial"/>
                <w:b/>
                <w:bCs/>
                <w:noProof w:val="0"/>
                <w:sz w:val="26"/>
                <w:szCs w:val="26"/>
                <w:rtl/>
              </w:rPr>
            </w:pPr>
          </w:p>
          <w:p w:rsidR="00183A24" w:rsidRDefault="00964133" w:rsidP="00392333">
            <w:pPr>
              <w:rPr>
                <w:rFonts w:ascii="Arial" w:hAnsi="Arial"/>
                <w:b/>
                <w:bCs/>
                <w:noProof w:val="0"/>
                <w:sz w:val="26"/>
                <w:szCs w:val="26"/>
              </w:rPr>
            </w:pPr>
            <w:sdt>
              <w:sdtPr>
                <w:rPr>
                  <w:rtl/>
                </w:rPr>
                <w:alias w:val="1184"/>
                <w:tag w:val="1184"/>
                <w:id w:val="385841288"/>
                <w:text w:multiLine="1"/>
              </w:sdtPr>
              <w:sdtEndPr/>
              <w:sdtContent>
                <w:r w:rsidR="00183A24">
                  <w:rPr>
                    <w:rFonts w:ascii="Arial" w:hAnsi="Arial" w:hint="cs"/>
                    <w:b/>
                    <w:bCs/>
                    <w:noProof w:val="0"/>
                    <w:sz w:val="26"/>
                    <w:szCs w:val="26"/>
                    <w:rtl/>
                  </w:rPr>
                  <w:t>משיב</w:t>
                </w:r>
              </w:sdtContent>
            </w:sdt>
          </w:p>
        </w:tc>
        <w:tc>
          <w:tcPr>
            <w:tcW w:w="5571" w:type="dxa"/>
          </w:tcPr>
          <w:p w:rsidR="00183A24" w:rsidRDefault="00183A24" w:rsidP="00392333">
            <w:pPr>
              <w:rPr>
                <w:rFonts w:ascii="Arial" w:hAnsi="Arial"/>
                <w:b/>
                <w:bCs/>
                <w:noProof w:val="0"/>
                <w:sz w:val="26"/>
                <w:szCs w:val="26"/>
                <w:rtl/>
              </w:rPr>
            </w:pPr>
          </w:p>
          <w:p w:rsidR="00183A24" w:rsidRDefault="009F793C" w:rsidP="00392333">
            <w:pPr>
              <w:rPr>
                <w:b/>
                <w:bCs/>
                <w:noProof w:val="0"/>
                <w:sz w:val="26"/>
                <w:szCs w:val="26"/>
                <w:rtl/>
              </w:rPr>
            </w:pPr>
            <w:r>
              <w:rPr>
                <w:rFonts w:ascii="Arial" w:hAnsi="Arial" w:hint="cs"/>
                <w:b/>
                <w:bCs/>
                <w:noProof w:val="0"/>
                <w:sz w:val="26"/>
                <w:szCs w:val="26"/>
                <w:rtl/>
              </w:rPr>
              <w:t>פלוני</w:t>
            </w:r>
          </w:p>
        </w:tc>
      </w:tr>
      <w:tr w:rsidR="00183A24" w:rsidTr="00392333">
        <w:tc>
          <w:tcPr>
            <w:tcW w:w="8820" w:type="dxa"/>
            <w:gridSpan w:val="3"/>
          </w:tcPr>
          <w:p w:rsidR="00183A24" w:rsidRDefault="00183A24" w:rsidP="00392333">
            <w:pPr>
              <w:rPr>
                <w:rFonts w:ascii="Arial" w:hAnsi="Arial"/>
                <w:b/>
                <w:bCs/>
                <w:noProof w:val="0"/>
                <w:sz w:val="26"/>
                <w:szCs w:val="26"/>
                <w:rtl/>
              </w:rPr>
            </w:pPr>
          </w:p>
        </w:tc>
      </w:tr>
    </w:tbl>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83A24" w:rsidRPr="00F27DCD" w:rsidTr="00392333">
        <w:trPr>
          <w:jc w:val="center"/>
        </w:trPr>
        <w:tc>
          <w:tcPr>
            <w:tcW w:w="8820" w:type="dxa"/>
          </w:tcPr>
          <w:p w:rsidR="00183A24" w:rsidRPr="00F27DCD" w:rsidRDefault="00183A24" w:rsidP="00392333">
            <w:pPr>
              <w:bidi w:val="0"/>
              <w:jc w:val="center"/>
              <w:rPr>
                <w:rFonts w:ascii="Arial" w:hAnsi="Arial"/>
                <w:b/>
                <w:bCs/>
                <w:i/>
                <w:iCs/>
                <w:noProof w:val="0"/>
                <w:sz w:val="36"/>
                <w:szCs w:val="36"/>
              </w:rPr>
            </w:pPr>
          </w:p>
          <w:p w:rsidR="00183A24" w:rsidRPr="00F27DCD" w:rsidRDefault="00183A24" w:rsidP="00392333">
            <w:pPr>
              <w:bidi w:val="0"/>
              <w:jc w:val="center"/>
              <w:rPr>
                <w:rFonts w:ascii="Arial" w:hAnsi="Arial"/>
                <w:b/>
                <w:bCs/>
                <w:i/>
                <w:iCs/>
                <w:noProof w:val="0"/>
                <w:sz w:val="36"/>
                <w:szCs w:val="36"/>
                <w:u w:val="single"/>
              </w:rPr>
            </w:pPr>
            <w:r w:rsidRPr="00F27DCD">
              <w:rPr>
                <w:rFonts w:ascii="Arial" w:hAnsi="Arial" w:hint="cs"/>
                <w:b/>
                <w:bCs/>
                <w:i/>
                <w:iCs/>
                <w:noProof w:val="0"/>
                <w:sz w:val="36"/>
                <w:szCs w:val="36"/>
                <w:u w:val="single"/>
                <w:rtl/>
              </w:rPr>
              <w:t>החלטה</w:t>
            </w:r>
          </w:p>
        </w:tc>
      </w:tr>
    </w:tbl>
    <w:p w:rsidR="00183A24" w:rsidRDefault="00183A24" w:rsidP="00183A24">
      <w:pPr>
        <w:spacing w:line="360" w:lineRule="auto"/>
        <w:jc w:val="both"/>
        <w:rPr>
          <w:rFonts w:ascii="David" w:hAnsi="David"/>
          <w:rtl/>
        </w:rPr>
      </w:pPr>
    </w:p>
    <w:p w:rsidR="00183A24" w:rsidRDefault="00183A24" w:rsidP="00183A24">
      <w:pPr>
        <w:spacing w:line="360" w:lineRule="auto"/>
        <w:jc w:val="both"/>
        <w:rPr>
          <w:rFonts w:ascii="David" w:hAnsi="David"/>
          <w:noProof w:val="0"/>
        </w:rPr>
      </w:pPr>
      <w:r>
        <w:rPr>
          <w:rFonts w:ascii="David" w:hAnsi="David"/>
          <w:rtl/>
        </w:rPr>
        <w:t>לפניי בקשה לתיקון כתב תביעה (להלן: "</w:t>
      </w:r>
      <w:r>
        <w:rPr>
          <w:rFonts w:ascii="David" w:hAnsi="David"/>
          <w:b/>
          <w:bCs/>
          <w:rtl/>
        </w:rPr>
        <w:t>הבקשה</w:t>
      </w:r>
      <w:r>
        <w:rPr>
          <w:rFonts w:ascii="David" w:hAnsi="David"/>
          <w:rtl/>
        </w:rPr>
        <w:t>").</w:t>
      </w:r>
    </w:p>
    <w:p w:rsidR="00183A24" w:rsidRDefault="00183A24" w:rsidP="00183A24">
      <w:pPr>
        <w:spacing w:line="360" w:lineRule="auto"/>
        <w:jc w:val="both"/>
        <w:rPr>
          <w:rFonts w:ascii="David" w:hAnsi="David"/>
          <w:rtl/>
        </w:rPr>
      </w:pPr>
    </w:p>
    <w:p w:rsidR="00183A24" w:rsidRDefault="00183A24" w:rsidP="00183A24">
      <w:pPr>
        <w:spacing w:line="360" w:lineRule="auto"/>
        <w:jc w:val="both"/>
        <w:rPr>
          <w:rFonts w:ascii="David" w:hAnsi="David"/>
          <w:b/>
          <w:bCs/>
          <w:u w:val="single"/>
          <w:rtl/>
        </w:rPr>
      </w:pPr>
      <w:r>
        <w:rPr>
          <w:rFonts w:ascii="David" w:hAnsi="David"/>
          <w:b/>
          <w:bCs/>
          <w:u w:val="single"/>
          <w:rtl/>
        </w:rPr>
        <w:t>רקע עובדתי רלוונטי</w:t>
      </w:r>
    </w:p>
    <w:p w:rsidR="00183A24" w:rsidRDefault="00183A24" w:rsidP="00183A24">
      <w:pPr>
        <w:spacing w:line="360" w:lineRule="auto"/>
        <w:jc w:val="both"/>
        <w:rPr>
          <w:rFonts w:ascii="David" w:hAnsi="David"/>
          <w:rtl/>
        </w:rPr>
      </w:pPr>
    </w:p>
    <w:p w:rsidR="00183A24" w:rsidRDefault="00183A24" w:rsidP="009F793C">
      <w:pPr>
        <w:pStyle w:val="aa"/>
        <w:numPr>
          <w:ilvl w:val="0"/>
          <w:numId w:val="1"/>
        </w:numPr>
        <w:spacing w:line="360" w:lineRule="auto"/>
        <w:jc w:val="both"/>
        <w:rPr>
          <w:rFonts w:ascii="David" w:hAnsi="David" w:cs="David"/>
          <w:sz w:val="24"/>
          <w:szCs w:val="24"/>
          <w:rtl/>
        </w:rPr>
      </w:pPr>
      <w:r>
        <w:rPr>
          <w:rFonts w:ascii="David" w:hAnsi="David" w:cs="David"/>
          <w:sz w:val="24"/>
          <w:szCs w:val="24"/>
          <w:rtl/>
        </w:rPr>
        <w:t>המבקשת והמשיב (להלן: "</w:t>
      </w:r>
      <w:r>
        <w:rPr>
          <w:rFonts w:ascii="David" w:hAnsi="David" w:cs="David"/>
          <w:b/>
          <w:bCs/>
          <w:sz w:val="24"/>
          <w:szCs w:val="24"/>
          <w:rtl/>
        </w:rPr>
        <w:t>הצדדים</w:t>
      </w:r>
      <w:r>
        <w:rPr>
          <w:rFonts w:ascii="David" w:hAnsi="David" w:cs="David"/>
          <w:sz w:val="24"/>
          <w:szCs w:val="24"/>
          <w:rtl/>
        </w:rPr>
        <w:t xml:space="preserve">") נישאו זל"ז ביום </w:t>
      </w:r>
      <w:r w:rsidR="009F793C">
        <w:rPr>
          <w:rFonts w:ascii="David" w:hAnsi="David" w:cs="David" w:hint="cs"/>
          <w:sz w:val="24"/>
          <w:szCs w:val="24"/>
          <w:rtl/>
        </w:rPr>
        <w:t>00</w:t>
      </w:r>
      <w:r>
        <w:rPr>
          <w:rFonts w:ascii="David" w:hAnsi="David" w:cs="David"/>
          <w:sz w:val="24"/>
          <w:szCs w:val="24"/>
          <w:rtl/>
        </w:rPr>
        <w:t>.</w:t>
      </w:r>
      <w:r w:rsidR="009F793C">
        <w:rPr>
          <w:rFonts w:ascii="David" w:hAnsi="David" w:cs="David" w:hint="cs"/>
          <w:sz w:val="24"/>
          <w:szCs w:val="24"/>
          <w:rtl/>
        </w:rPr>
        <w:t>00</w:t>
      </w:r>
      <w:r>
        <w:rPr>
          <w:rFonts w:ascii="David" w:hAnsi="David" w:cs="David"/>
          <w:sz w:val="24"/>
          <w:szCs w:val="24"/>
          <w:rtl/>
        </w:rPr>
        <w:t xml:space="preserve">.10 והתגרשו זמ"ז ביום </w:t>
      </w:r>
      <w:r w:rsidR="009F793C">
        <w:rPr>
          <w:rFonts w:ascii="David" w:hAnsi="David" w:cs="David" w:hint="cs"/>
          <w:sz w:val="24"/>
          <w:szCs w:val="24"/>
          <w:rtl/>
        </w:rPr>
        <w:t>00</w:t>
      </w:r>
      <w:r>
        <w:rPr>
          <w:rFonts w:ascii="David" w:hAnsi="David" w:cs="David"/>
          <w:sz w:val="24"/>
          <w:szCs w:val="24"/>
          <w:rtl/>
        </w:rPr>
        <w:t>.</w:t>
      </w:r>
      <w:r w:rsidR="009F793C">
        <w:rPr>
          <w:rFonts w:ascii="David" w:hAnsi="David" w:cs="David" w:hint="cs"/>
          <w:sz w:val="24"/>
          <w:szCs w:val="24"/>
          <w:rtl/>
        </w:rPr>
        <w:t>00</w:t>
      </w:r>
      <w:r>
        <w:rPr>
          <w:rFonts w:ascii="David" w:hAnsi="David" w:cs="David"/>
          <w:sz w:val="24"/>
          <w:szCs w:val="24"/>
          <w:rtl/>
        </w:rPr>
        <w:t>.19.</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Pr>
      </w:pPr>
      <w:r>
        <w:rPr>
          <w:rFonts w:ascii="David" w:hAnsi="David" w:cs="David"/>
          <w:sz w:val="24"/>
          <w:szCs w:val="24"/>
          <w:rtl/>
        </w:rPr>
        <w:t>לצדדים שלושה ילדים משותפים.</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הבקשה הוגשה במסגרת הליך שעניינו חלוקת רכוש אותו יזמה המבקשת ביום 17.11.22.</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במסגרת הליך זה הוגשו לא פחות מ-4 כתבי תביעה: כתב תביעה מקורי אחד ו-3 כתבי תביעה מתוקנים.</w:t>
      </w:r>
    </w:p>
    <w:p w:rsidR="00183A24" w:rsidRDefault="00183A24" w:rsidP="00183A24">
      <w:pPr>
        <w:pStyle w:val="aa"/>
        <w:spacing w:line="360" w:lineRule="auto"/>
        <w:jc w:val="both"/>
        <w:rPr>
          <w:rFonts w:ascii="David" w:hAnsi="David" w:cs="David"/>
          <w:sz w:val="24"/>
          <w:szCs w:val="24"/>
        </w:rPr>
      </w:pPr>
    </w:p>
    <w:p w:rsidR="00183A24" w:rsidRDefault="00183A24" w:rsidP="00183A24">
      <w:pPr>
        <w:spacing w:line="360" w:lineRule="auto"/>
        <w:jc w:val="both"/>
        <w:rPr>
          <w:rFonts w:ascii="David" w:hAnsi="David"/>
          <w:b/>
          <w:bCs/>
          <w:u w:val="single"/>
          <w:rtl/>
        </w:rPr>
      </w:pPr>
      <w:r>
        <w:rPr>
          <w:rFonts w:ascii="David" w:hAnsi="David"/>
          <w:b/>
          <w:bCs/>
          <w:u w:val="single"/>
          <w:rtl/>
        </w:rPr>
        <w:t>עיקר טענות המבקשת</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בכל כתבי התביעה שהוגשו בהליך זה לא ננקב סכום התביעה.</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Pr>
      </w:pPr>
      <w:r>
        <w:rPr>
          <w:rFonts w:ascii="David" w:hAnsi="David" w:cs="David"/>
          <w:sz w:val="24"/>
          <w:szCs w:val="24"/>
          <w:rtl/>
        </w:rPr>
        <w:t>התיקון המבוקש הינו הגדלת סכום התביעה לו עתרה המבקשת בכתב התביעה המקורי.</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הבקשה מוגשת בשלב מקדמי של ההליך וישנה עדיפות לתיקון כתב התביעה מאשר הגשת תביעה חדשה.</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התיקון המבוקש נוגע ללב ליבה של המחלוקת בין הצדדים.</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הבקשה מוגשת בשל התפתחות שהתרחשה מיום הגשת התביעה ועד היום.</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התיקון המבוקש יסייע לבירור מלוא השאלות שבמחלוקת.</w:t>
      </w:r>
    </w:p>
    <w:p w:rsidR="00183A24" w:rsidRDefault="00183A24" w:rsidP="00183A24">
      <w:pPr>
        <w:pStyle w:val="aa"/>
        <w:spacing w:line="360" w:lineRule="auto"/>
        <w:jc w:val="both"/>
        <w:rPr>
          <w:rFonts w:ascii="David" w:hAnsi="David" w:cs="David"/>
          <w:sz w:val="24"/>
          <w:szCs w:val="24"/>
        </w:rPr>
      </w:pPr>
    </w:p>
    <w:p w:rsidR="00183A24" w:rsidRDefault="00183A24" w:rsidP="00183A24">
      <w:pPr>
        <w:spacing w:line="360" w:lineRule="auto"/>
        <w:jc w:val="both"/>
        <w:rPr>
          <w:rFonts w:ascii="David" w:hAnsi="David"/>
          <w:b/>
          <w:bCs/>
          <w:u w:val="single"/>
          <w:rtl/>
        </w:rPr>
      </w:pPr>
      <w:r>
        <w:rPr>
          <w:rFonts w:ascii="David" w:hAnsi="David"/>
          <w:b/>
          <w:bCs/>
          <w:u w:val="single"/>
          <w:rtl/>
        </w:rPr>
        <w:t>עיקר טענות המשיב</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בית המשפט נעתר לבקשות לתיקון כתב התביעה 4 פעמים.</w:t>
      </w:r>
    </w:p>
    <w:p w:rsidR="00183A24" w:rsidRDefault="00183A24" w:rsidP="00183A24">
      <w:pPr>
        <w:pStyle w:val="aa"/>
        <w:spacing w:line="360" w:lineRule="auto"/>
        <w:jc w:val="both"/>
        <w:rPr>
          <w:rFonts w:ascii="David" w:hAnsi="David" w:cs="David"/>
          <w:sz w:val="24"/>
          <w:szCs w:val="24"/>
        </w:rPr>
      </w:pPr>
      <w:bookmarkStart w:id="0" w:name="_GoBack"/>
      <w:bookmarkEnd w:id="0"/>
    </w:p>
    <w:p w:rsidR="00183A24" w:rsidRDefault="00183A24" w:rsidP="00183A24">
      <w:pPr>
        <w:pStyle w:val="aa"/>
        <w:numPr>
          <w:ilvl w:val="0"/>
          <w:numId w:val="1"/>
        </w:numPr>
        <w:spacing w:line="360" w:lineRule="auto"/>
        <w:jc w:val="both"/>
        <w:rPr>
          <w:rFonts w:ascii="David" w:hAnsi="David" w:cs="David"/>
          <w:sz w:val="24"/>
          <w:szCs w:val="24"/>
        </w:rPr>
      </w:pPr>
      <w:r>
        <w:rPr>
          <w:rFonts w:ascii="David" w:hAnsi="David" w:cs="David"/>
          <w:sz w:val="24"/>
          <w:szCs w:val="24"/>
          <w:rtl/>
        </w:rPr>
        <w:t>הסכסוך בין הצדדים מתכנס לעניין השקעתה הכספית של המבקשת בשיפוץ בדירת המגורים (להלן: "</w:t>
      </w:r>
      <w:r>
        <w:rPr>
          <w:rFonts w:ascii="David" w:hAnsi="David" w:cs="David"/>
          <w:b/>
          <w:bCs/>
          <w:sz w:val="24"/>
          <w:szCs w:val="24"/>
          <w:rtl/>
        </w:rPr>
        <w:t>הדירה</w:t>
      </w:r>
      <w:r>
        <w:rPr>
          <w:rFonts w:ascii="David" w:hAnsi="David" w:cs="David"/>
          <w:sz w:val="24"/>
          <w:szCs w:val="24"/>
          <w:rtl/>
        </w:rPr>
        <w:t>") וסלע המחלוקת הוא זכאותה של המבקשת לקבלת השקעתה הכספית בהשבחת הדירה.</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הדירה שייכת להורי המשיב, שסייעו לצדדים מבחינה כלכלית והתירו להם להשתמש בדירה ללא תמורה לתקופה קצובה. על המבקשת לתבוע את הורי המשיב בשל היותם בעלי הדירה.</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המבקשת, בהיותה עקרת בית, לא הוכיחה השקעה בדירה ואף לא הוכיחה את מועד השיפוץ.</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המבקשת הגישה את התביעה כתביעה לפירוק שיתוף. עילה זו נדחתה ובית המשפט ציין כי המבקשת תוכל לתבוע לכל היותר את דמי השבחת הדירה.</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המבקשת איננה יכולה להעלות טענות סותרות בהליכים שונים.</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תיק זה נפתח בשנת 2022 ולא מדובר בשלב המקדמי של ההליך. למשיב ייגרמו הוצאות כספיות משמעותיות אם יצטרך להגיש כתב הגנה מתוקן.</w:t>
      </w:r>
    </w:p>
    <w:p w:rsidR="00183A24" w:rsidRDefault="00183A24" w:rsidP="006D64EA">
      <w:pPr>
        <w:pStyle w:val="aa"/>
        <w:spacing w:after="0" w:line="360" w:lineRule="auto"/>
        <w:jc w:val="both"/>
        <w:rPr>
          <w:rFonts w:ascii="David" w:hAnsi="David" w:cs="David"/>
          <w:sz w:val="24"/>
          <w:szCs w:val="24"/>
        </w:rPr>
      </w:pPr>
    </w:p>
    <w:p w:rsidR="00183A24" w:rsidRDefault="00183A24" w:rsidP="00183A24">
      <w:pPr>
        <w:spacing w:line="360" w:lineRule="auto"/>
        <w:jc w:val="both"/>
        <w:rPr>
          <w:rFonts w:ascii="David" w:hAnsi="David"/>
          <w:b/>
          <w:bCs/>
          <w:u w:val="single"/>
          <w:rtl/>
        </w:rPr>
      </w:pPr>
      <w:r>
        <w:rPr>
          <w:rFonts w:ascii="David" w:hAnsi="David"/>
          <w:b/>
          <w:bCs/>
          <w:u w:val="single"/>
          <w:rtl/>
        </w:rPr>
        <w:t>הכרעה</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Pr>
      </w:pPr>
      <w:r>
        <w:rPr>
          <w:rFonts w:ascii="David" w:hAnsi="David" w:cs="David"/>
          <w:sz w:val="24"/>
          <w:szCs w:val="24"/>
          <w:rtl/>
        </w:rPr>
        <w:t>לאחר עיון בעמדות הצדדים ובכתבי בי דין נוספים, הגעתי למסקנה כי דין הבקשה להידחות.</w:t>
      </w:r>
    </w:p>
    <w:p w:rsidR="006D64EA" w:rsidRDefault="006D64EA" w:rsidP="006D64EA">
      <w:pPr>
        <w:pStyle w:val="aa"/>
        <w:spacing w:line="360" w:lineRule="auto"/>
        <w:jc w:val="both"/>
        <w:rPr>
          <w:rFonts w:ascii="David" w:hAnsi="David" w:cs="David"/>
          <w:sz w:val="24"/>
          <w:szCs w:val="24"/>
          <w:rtl/>
        </w:rPr>
      </w:pPr>
    </w:p>
    <w:p w:rsidR="00183A24" w:rsidRDefault="00183A24" w:rsidP="00183A24">
      <w:pPr>
        <w:pStyle w:val="aa"/>
        <w:numPr>
          <w:ilvl w:val="0"/>
          <w:numId w:val="1"/>
        </w:numPr>
        <w:spacing w:line="360" w:lineRule="auto"/>
        <w:jc w:val="both"/>
        <w:rPr>
          <w:rFonts w:ascii="David" w:hAnsi="David" w:cs="David"/>
          <w:sz w:val="24"/>
          <w:szCs w:val="24"/>
        </w:rPr>
      </w:pPr>
      <w:r>
        <w:rPr>
          <w:rFonts w:ascii="David" w:hAnsi="David" w:cs="David"/>
          <w:sz w:val="24"/>
          <w:szCs w:val="24"/>
          <w:rtl/>
        </w:rPr>
        <w:lastRenderedPageBreak/>
        <w:t>תקנה 46(א) לתקנות סדר הדין האזרחי, התשע"ט–2018 קובעת כי בית המשפט רשאי להורות בכל עת על תיקון כתב טענות, וזאת לשם קיומו של הליך שיפוטי ראוי והוגן, ובהתחשב, בין היתר, בהתנהלות מבקש התיקון, השלב הדיוני שבו מוגשת הבקשה, והמטרה שהתיקון צפוי להשיג.</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נטען על-ידי המבקשת כי התיקון המבוקש הינו הגדלת "...סכום הסעד לו עתרה התובעת כבר בתביעתה המקורית" </w:t>
      </w:r>
      <w:r>
        <w:rPr>
          <w:rFonts w:ascii="David" w:hAnsi="David" w:cs="David"/>
          <w:b/>
          <w:bCs/>
          <w:sz w:val="24"/>
          <w:szCs w:val="24"/>
          <w:rtl/>
        </w:rPr>
        <w:t>ראו: ס' 18 לבקשה</w:t>
      </w:r>
      <w:r>
        <w:rPr>
          <w:rFonts w:ascii="David" w:hAnsi="David" w:cs="David"/>
          <w:sz w:val="24"/>
          <w:szCs w:val="24"/>
          <w:rtl/>
        </w:rPr>
        <w:t>. ואולם, המבקשת טענה גם כי במסגרת ארבעת כתבי התביעה שהוגשו מטעמה כלל לא ננקב סכום וכך גם עולה מעיון בכתבי התביעה שהוגשו בהליך זה. הדבר אף בא לידי ביטוי בהחלטה מיום 19.5.24, בה נקבע, בין היתר, כך:</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spacing w:line="360" w:lineRule="auto"/>
        <w:ind w:left="1133" w:right="567"/>
        <w:jc w:val="both"/>
        <w:rPr>
          <w:rFonts w:ascii="David" w:hAnsi="David" w:cs="David"/>
          <w:i/>
          <w:iCs/>
          <w:sz w:val="24"/>
          <w:szCs w:val="24"/>
          <w:rtl/>
        </w:rPr>
      </w:pPr>
      <w:r>
        <w:rPr>
          <w:rFonts w:ascii="David" w:hAnsi="David" w:cs="David"/>
          <w:i/>
          <w:iCs/>
          <w:sz w:val="24"/>
          <w:szCs w:val="24"/>
          <w:rtl/>
        </w:rPr>
        <w:t>"לא הצלחתי לרדת לסוף דעתה של התובעת כיצד היא מבקשת לקבל סעד של השבחת הנכס ... כאשר סעד זה – שהינו סעד כספי – לא נתבקש בכתב התביעה המתוקן ולא שולמה בגינן</w:t>
      </w:r>
      <w:r>
        <w:rPr>
          <w:rFonts w:ascii="David" w:hAnsi="David" w:cs="David"/>
          <w:sz w:val="24"/>
          <w:szCs w:val="24"/>
          <w:rtl/>
        </w:rPr>
        <w:t xml:space="preserve"> [צ"ל בגינו – פ"ג] </w:t>
      </w:r>
      <w:r>
        <w:rPr>
          <w:rFonts w:ascii="David" w:hAnsi="David" w:cs="David"/>
          <w:i/>
          <w:iCs/>
          <w:sz w:val="24"/>
          <w:szCs w:val="24"/>
          <w:rtl/>
        </w:rPr>
        <w:t>אגרה כספית.</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בתוך כך, לא מדובר בתיקון של סכום הסעד</w:t>
      </w:r>
      <w:r w:rsidR="006D64EA">
        <w:rPr>
          <w:rFonts w:ascii="David" w:hAnsi="David" w:cs="David" w:hint="cs"/>
          <w:sz w:val="24"/>
          <w:szCs w:val="24"/>
          <w:rtl/>
        </w:rPr>
        <w:t>,</w:t>
      </w:r>
      <w:r>
        <w:rPr>
          <w:rFonts w:ascii="David" w:hAnsi="David" w:cs="David"/>
          <w:sz w:val="24"/>
          <w:szCs w:val="24"/>
          <w:rtl/>
        </w:rPr>
        <w:t xml:space="preserve"> אלא בבקשה לתיקון או הוספת עילת התביעה, שהוגשה בשיהוי. </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Pr>
      </w:pPr>
      <w:r>
        <w:rPr>
          <w:rFonts w:ascii="David" w:hAnsi="David" w:cs="David"/>
          <w:sz w:val="24"/>
          <w:szCs w:val="24"/>
          <w:rtl/>
        </w:rPr>
        <w:t>כתב התביעה המתוקן האחרון, עניינו איזון משאבים ופירוק שיתוף. בתוך כך, לא הונחה בו כל תשתית עובדתית וראייתית להוכחת עילת תביעה כספית והמבקשת תידרש להניח תשתית עובדתית וראייתית מתאימה.</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נקבע לא אחת כי בית המשפט ייטה שלא להתיר את תיקונו של כתב תביעה ככל שמטרת התיקון היא הוספת עילת תביעה חדשה אשר הראיות להוכחתה שונות מן הראיות הדרושות להוכחת העילה המקורית </w:t>
      </w:r>
      <w:r>
        <w:rPr>
          <w:rFonts w:ascii="David" w:hAnsi="David" w:cs="David"/>
          <w:b/>
          <w:bCs/>
          <w:sz w:val="24"/>
          <w:szCs w:val="24"/>
          <w:rtl/>
        </w:rPr>
        <w:t>ראו</w:t>
      </w:r>
      <w:r>
        <w:rPr>
          <w:rFonts w:ascii="David" w:hAnsi="David" w:cs="David"/>
          <w:sz w:val="24"/>
          <w:szCs w:val="24"/>
          <w:rtl/>
        </w:rPr>
        <w:t xml:space="preserve">: רע"א 8779/20 </w:t>
      </w:r>
      <w:r>
        <w:rPr>
          <w:rFonts w:ascii="David" w:hAnsi="David" w:cs="David"/>
          <w:b/>
          <w:bCs/>
          <w:sz w:val="24"/>
          <w:szCs w:val="24"/>
          <w:rtl/>
        </w:rPr>
        <w:t>פלונית נ' שירותי בריאות כללית</w:t>
      </w:r>
      <w:r>
        <w:rPr>
          <w:rFonts w:ascii="David" w:hAnsi="David" w:cs="David"/>
          <w:sz w:val="24"/>
          <w:szCs w:val="24"/>
          <w:rtl/>
        </w:rPr>
        <w:t xml:space="preserve"> (4.3.2021), כאשר גורם חשוב בשיקולי בית המשפט הוא השיהוי בהגשתה </w:t>
      </w:r>
      <w:r>
        <w:rPr>
          <w:rFonts w:ascii="David" w:hAnsi="David" w:cs="David"/>
          <w:b/>
          <w:bCs/>
          <w:sz w:val="24"/>
          <w:szCs w:val="24"/>
          <w:rtl/>
        </w:rPr>
        <w:t>ראו</w:t>
      </w:r>
      <w:r>
        <w:rPr>
          <w:rFonts w:ascii="David" w:hAnsi="David" w:cs="David"/>
          <w:sz w:val="24"/>
          <w:szCs w:val="24"/>
          <w:rtl/>
        </w:rPr>
        <w:t xml:space="preserve">: ת"צ 23273-12-17 </w:t>
      </w:r>
      <w:r>
        <w:rPr>
          <w:rFonts w:ascii="David" w:hAnsi="David" w:cs="David"/>
          <w:b/>
          <w:bCs/>
          <w:sz w:val="24"/>
          <w:szCs w:val="24"/>
          <w:rtl/>
        </w:rPr>
        <w:t>ספראי נ' מדינת ישראל- רשות המיסים</w:t>
      </w:r>
      <w:r>
        <w:rPr>
          <w:rFonts w:ascii="David" w:hAnsi="David" w:cs="David"/>
          <w:sz w:val="24"/>
          <w:szCs w:val="24"/>
          <w:rtl/>
        </w:rPr>
        <w:t xml:space="preserve"> (13.6.2021).</w:t>
      </w:r>
    </w:p>
    <w:p w:rsidR="00183A24" w:rsidRPr="00F27DCD" w:rsidRDefault="00183A24" w:rsidP="00183A24">
      <w:pPr>
        <w:pStyle w:val="aa"/>
        <w:rPr>
          <w:rFonts w:ascii="David" w:hAnsi="David" w:cs="David"/>
          <w:sz w:val="24"/>
          <w:szCs w:val="24"/>
          <w:rtl/>
        </w:rPr>
      </w:pP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יש לדחות את טענת המבקשת כי ההליך מצוי בשלביו המקדמיים. עסקינן בהליך שנפתח לפני למעלה משנתיים וחצי והצדדים אף ביקשו לקבוע מועד להוכחות </w:t>
      </w:r>
      <w:r>
        <w:rPr>
          <w:rFonts w:ascii="David" w:hAnsi="David" w:cs="David"/>
          <w:b/>
          <w:bCs/>
          <w:sz w:val="24"/>
          <w:szCs w:val="24"/>
          <w:rtl/>
        </w:rPr>
        <w:t>ראו: הודעת המבקשת מיום 15.2.24 והודעת המשיב מיום 25.2.24</w:t>
      </w:r>
      <w:r>
        <w:rPr>
          <w:rFonts w:ascii="David" w:hAnsi="David" w:cs="David"/>
          <w:sz w:val="24"/>
          <w:szCs w:val="24"/>
          <w:rtl/>
        </w:rPr>
        <w:t>.</w:t>
      </w:r>
    </w:p>
    <w:p w:rsidR="00183A24" w:rsidRDefault="00183A24" w:rsidP="00183A24">
      <w:pPr>
        <w:pStyle w:val="aa"/>
        <w:spacing w:line="360" w:lineRule="auto"/>
        <w:jc w:val="both"/>
        <w:rPr>
          <w:rFonts w:ascii="David" w:hAnsi="David" w:cs="David"/>
          <w:sz w:val="24"/>
          <w:szCs w:val="24"/>
          <w:rtl/>
        </w:rPr>
      </w:pPr>
    </w:p>
    <w:p w:rsidR="00183A24" w:rsidRPr="00F27DCD"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לא התעלמתי מטענת המבקשת כי יש ליתן עדיפות לתיקון כתב התביעה על פני הגשת תביעה חדשה. אכן, זהו הדין במקרים מתאימים </w:t>
      </w:r>
      <w:r>
        <w:rPr>
          <w:rFonts w:ascii="David" w:hAnsi="David" w:cs="David"/>
          <w:b/>
          <w:bCs/>
          <w:sz w:val="24"/>
          <w:szCs w:val="24"/>
          <w:rtl/>
        </w:rPr>
        <w:t>השוו</w:t>
      </w:r>
      <w:r>
        <w:rPr>
          <w:rFonts w:ascii="David" w:hAnsi="David" w:cs="David"/>
          <w:sz w:val="24"/>
          <w:szCs w:val="24"/>
          <w:rtl/>
        </w:rPr>
        <w:t xml:space="preserve">: רע"א 54926-02-22 </w:t>
      </w:r>
      <w:r>
        <w:rPr>
          <w:rFonts w:ascii="David" w:hAnsi="David" w:cs="David"/>
          <w:b/>
          <w:bCs/>
          <w:sz w:val="24"/>
          <w:szCs w:val="24"/>
          <w:rtl/>
        </w:rPr>
        <w:t xml:space="preserve">פלונית נ' סטודיו אווה ספורט </w:t>
      </w:r>
      <w:r>
        <w:rPr>
          <w:rFonts w:ascii="David" w:hAnsi="David" w:cs="David"/>
          <w:sz w:val="24"/>
          <w:szCs w:val="24"/>
          <w:rtl/>
        </w:rPr>
        <w:t xml:space="preserve">(16.3.2022) ואולם, במקרה שלפניי, אין להתעלם מטענת המשיב (ואיני קובע מסמרות בעניין זה, בשלב זה) אשר לפיה הדירה שייכת להוריו ויש לבחון את סוגיית היריבות בין בעלי הדין. </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לא התעלמתי מטענת המבקשת כי התיקון המבוקש נוגע ללב ליבה של המחלוקת. נפסק בעניין זה – והדברים מקבלים משנה תוקף לאור הטענה כי התיקון המבוקש הינו לב ליבה של המחלוקת ולאור העובדה כי מדובר בתיקון הרביעי – כי: "</w:t>
      </w:r>
      <w:r>
        <w:rPr>
          <w:rFonts w:ascii="David" w:hAnsi="David" w:cs="David"/>
          <w:i/>
          <w:iCs/>
          <w:sz w:val="24"/>
          <w:szCs w:val="24"/>
          <w:rtl/>
        </w:rPr>
        <w:t>על הצדדים לבדוק היטב את טענותיהם טרם העלאתן, לנסח כתבי טענות בצורה מדויקת וממצה, ולא לסמוך על האפשרות לתקנם בדיעבד</w:t>
      </w:r>
      <w:r>
        <w:rPr>
          <w:rFonts w:ascii="David" w:hAnsi="David" w:cs="David"/>
          <w:sz w:val="24"/>
          <w:szCs w:val="24"/>
          <w:rtl/>
        </w:rPr>
        <w:t xml:space="preserve"> </w:t>
      </w:r>
      <w:r>
        <w:rPr>
          <w:rFonts w:ascii="David" w:hAnsi="David" w:cs="David"/>
          <w:b/>
          <w:bCs/>
          <w:sz w:val="24"/>
          <w:szCs w:val="24"/>
          <w:rtl/>
        </w:rPr>
        <w:t>ראו</w:t>
      </w:r>
      <w:r>
        <w:rPr>
          <w:rFonts w:ascii="David" w:hAnsi="David" w:cs="David"/>
          <w:sz w:val="24"/>
          <w:szCs w:val="24"/>
          <w:rtl/>
        </w:rPr>
        <w:t xml:space="preserve">: רע"א 52079-09-22 </w:t>
      </w:r>
      <w:r>
        <w:rPr>
          <w:rFonts w:ascii="David" w:hAnsi="David" w:cs="David"/>
          <w:b/>
          <w:bCs/>
          <w:sz w:val="24"/>
          <w:szCs w:val="24"/>
          <w:rtl/>
        </w:rPr>
        <w:t>מיארה נ' עירית ירושלים</w:t>
      </w:r>
      <w:r>
        <w:rPr>
          <w:rFonts w:ascii="David" w:hAnsi="David" w:cs="David"/>
          <w:sz w:val="24"/>
          <w:szCs w:val="24"/>
          <w:rtl/>
        </w:rPr>
        <w:t xml:space="preserve"> (19.5.2023).</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על יסוד כל אלה, ובהתאם לשיקול הדעת הרחב שמסור לערכאה הדיונית בהחלטות בעניין תיקון כתבי טענות, בהיותן החלטות הנוגעות באופן מובהק לאופן ניהול ההליך </w:t>
      </w:r>
      <w:r>
        <w:rPr>
          <w:rFonts w:ascii="David" w:hAnsi="David" w:cs="David"/>
          <w:b/>
          <w:bCs/>
          <w:sz w:val="24"/>
          <w:szCs w:val="24"/>
          <w:rtl/>
        </w:rPr>
        <w:t>ראו</w:t>
      </w:r>
      <w:r>
        <w:rPr>
          <w:rFonts w:ascii="David" w:hAnsi="David" w:cs="David"/>
          <w:sz w:val="24"/>
          <w:szCs w:val="24"/>
          <w:rtl/>
        </w:rPr>
        <w:t xml:space="preserve">: רע"א 5382/23 </w:t>
      </w:r>
      <w:r>
        <w:rPr>
          <w:rFonts w:ascii="David" w:hAnsi="David" w:cs="David"/>
          <w:b/>
          <w:bCs/>
          <w:sz w:val="24"/>
          <w:szCs w:val="24"/>
          <w:rtl/>
        </w:rPr>
        <w:t xml:space="preserve">יצחק נ' אהרוני </w:t>
      </w:r>
      <w:r>
        <w:rPr>
          <w:rFonts w:ascii="David" w:hAnsi="David" w:cs="David"/>
          <w:sz w:val="24"/>
          <w:szCs w:val="24"/>
          <w:rtl/>
        </w:rPr>
        <w:t>(10.12.2023), אני דוחה את הבקשה.</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המבקשת תישא בהוצאות משפט בסך של 2,500 ₪.</w:t>
      </w:r>
    </w:p>
    <w:p w:rsidR="00183A24" w:rsidRDefault="00183A24" w:rsidP="00183A24">
      <w:pPr>
        <w:pStyle w:val="aa"/>
        <w:spacing w:line="360" w:lineRule="auto"/>
        <w:jc w:val="both"/>
        <w:rPr>
          <w:rFonts w:ascii="David" w:hAnsi="David" w:cs="David"/>
          <w:sz w:val="24"/>
          <w:szCs w:val="24"/>
        </w:rPr>
      </w:pPr>
    </w:p>
    <w:p w:rsidR="00183A24" w:rsidRDefault="00183A24" w:rsidP="00183A24">
      <w:pPr>
        <w:pStyle w:val="aa"/>
        <w:numPr>
          <w:ilvl w:val="0"/>
          <w:numId w:val="1"/>
        </w:numPr>
        <w:spacing w:line="360" w:lineRule="auto"/>
        <w:jc w:val="both"/>
        <w:rPr>
          <w:rFonts w:ascii="David" w:hAnsi="David" w:cs="David"/>
          <w:sz w:val="24"/>
          <w:szCs w:val="24"/>
          <w:rtl/>
        </w:rPr>
      </w:pPr>
      <w:r>
        <w:rPr>
          <w:rFonts w:ascii="David" w:hAnsi="David" w:cs="David"/>
          <w:sz w:val="24"/>
          <w:szCs w:val="24"/>
          <w:rtl/>
        </w:rPr>
        <w:t>בתוך 10 ימים תודיע המבקשת כיצד בכוונתה לקדם את ההליך.</w:t>
      </w:r>
    </w:p>
    <w:p w:rsidR="00183A24" w:rsidRDefault="00183A24" w:rsidP="00183A24">
      <w:pPr>
        <w:pStyle w:val="aa"/>
        <w:spacing w:line="360" w:lineRule="auto"/>
        <w:jc w:val="both"/>
        <w:rPr>
          <w:rFonts w:ascii="David" w:hAnsi="David" w:cs="David"/>
          <w:sz w:val="24"/>
          <w:szCs w:val="24"/>
        </w:rPr>
      </w:pPr>
    </w:p>
    <w:p w:rsidR="00183A24" w:rsidRDefault="00183A24" w:rsidP="006D64EA">
      <w:pPr>
        <w:pStyle w:val="aa"/>
        <w:spacing w:line="360" w:lineRule="auto"/>
        <w:jc w:val="both"/>
        <w:rPr>
          <w:rFonts w:ascii="David" w:hAnsi="David" w:cs="David"/>
          <w:sz w:val="24"/>
          <w:szCs w:val="24"/>
          <w:rtl/>
        </w:rPr>
      </w:pPr>
      <w:r>
        <w:rPr>
          <w:rFonts w:ascii="David" w:hAnsi="David" w:cs="David"/>
          <w:b/>
          <w:bCs/>
          <w:sz w:val="24"/>
          <w:szCs w:val="24"/>
          <w:rtl/>
        </w:rPr>
        <w:t>ת.פ. מזכירות</w:t>
      </w:r>
      <w:r>
        <w:rPr>
          <w:rFonts w:ascii="David" w:hAnsi="David" w:cs="David"/>
          <w:sz w:val="24"/>
          <w:szCs w:val="24"/>
          <w:rtl/>
        </w:rPr>
        <w:t>.</w:t>
      </w:r>
    </w:p>
    <w:p w:rsidR="006D64EA" w:rsidRDefault="006D64EA" w:rsidP="006D64EA">
      <w:pPr>
        <w:pStyle w:val="aa"/>
        <w:spacing w:line="360" w:lineRule="auto"/>
        <w:jc w:val="both"/>
        <w:rPr>
          <w:rFonts w:ascii="David" w:hAnsi="David" w:cs="David"/>
          <w:sz w:val="24"/>
          <w:szCs w:val="24"/>
          <w:rtl/>
        </w:rPr>
      </w:pPr>
    </w:p>
    <w:p w:rsidR="006D64EA" w:rsidRDefault="006D64EA" w:rsidP="006D64EA">
      <w:pPr>
        <w:pStyle w:val="aa"/>
        <w:numPr>
          <w:ilvl w:val="0"/>
          <w:numId w:val="1"/>
        </w:numPr>
        <w:spacing w:line="360" w:lineRule="auto"/>
        <w:jc w:val="both"/>
        <w:rPr>
          <w:rFonts w:ascii="David" w:hAnsi="David" w:cs="David"/>
          <w:sz w:val="24"/>
          <w:szCs w:val="24"/>
        </w:rPr>
      </w:pPr>
      <w:r>
        <w:rPr>
          <w:rFonts w:ascii="David" w:hAnsi="David" w:cs="David" w:hint="cs"/>
          <w:sz w:val="24"/>
          <w:szCs w:val="24"/>
          <w:rtl/>
        </w:rPr>
        <w:t>ההחלטה מותרת לפרסום לאחר השמטת פרטים מזהים.</w:t>
      </w:r>
    </w:p>
    <w:p w:rsidR="006D64EA" w:rsidRPr="006D64EA" w:rsidRDefault="006D64EA" w:rsidP="006D64EA">
      <w:pPr>
        <w:pStyle w:val="aa"/>
        <w:spacing w:line="360" w:lineRule="auto"/>
        <w:jc w:val="both"/>
        <w:rPr>
          <w:rFonts w:ascii="David" w:hAnsi="David" w:cs="David"/>
          <w:sz w:val="24"/>
          <w:szCs w:val="24"/>
          <w:rtl/>
        </w:rPr>
      </w:pPr>
    </w:p>
    <w:p w:rsidR="00183A24" w:rsidRDefault="00183A24" w:rsidP="00183A24">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י"ד אב תשפ"ד</w:t>
          </w:r>
        </w:sdtContent>
      </w:sdt>
      <w:r>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18 אוגוסט 2024</w:t>
          </w:r>
        </w:sdtContent>
      </w:sdt>
      <w:r>
        <w:rPr>
          <w:rFonts w:ascii="Arial" w:hAnsi="Arial"/>
          <w:noProof w:val="0"/>
          <w:rtl/>
        </w:rPr>
        <w:t>, בהעדר הצדדים.</w:t>
      </w:r>
    </w:p>
    <w:p w:rsidR="00183A24" w:rsidRDefault="00183A24" w:rsidP="00183A24">
      <w:pPr>
        <w:spacing w:line="360" w:lineRule="auto"/>
        <w:jc w:val="center"/>
        <w:rPr>
          <w:rFonts w:ascii="Arial" w:hAnsi="Arial"/>
          <w:noProof w:val="0"/>
          <w:rtl/>
        </w:rPr>
      </w:pPr>
    </w:p>
    <w:p w:rsidR="00CE1021" w:rsidRDefault="00183A24" w:rsidP="00183A24">
      <w:pPr>
        <w:spacing w:line="360" w:lineRule="auto"/>
        <w:jc w:val="center"/>
      </w:pPr>
      <w:r>
        <w:rPr>
          <w:rFonts w:ascii="Arial" w:hAnsi="Arial"/>
          <w:noProof w:val="0"/>
          <w:rtl/>
        </w:rPr>
        <w:tab/>
      </w:r>
      <w:r>
        <w:rPr>
          <w:rFonts w:ascii="Arial" w:hAnsi="Arial"/>
          <w:noProof w:val="0"/>
          <w:rtl/>
        </w:rPr>
        <w:tab/>
      </w:r>
      <w:sdt>
        <w:sdtPr>
          <w:rPr>
            <w:rtl/>
          </w:rPr>
          <w:alias w:val="MergeField"/>
          <w:tag w:val="1237"/>
          <w:id w:val="-1787189515"/>
        </w:sdtPr>
        <w:sdtEndPr/>
        <w:sdtContent>
          <w:r>
            <w:drawing>
              <wp:inline distT="0" distB="0" distL="0" distR="0" wp14:anchorId="6ACE2277" wp14:editId="010D2087">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28800" cy="733425"/>
                        </a:xfrm>
                        <a:prstGeom prst="rect">
                          <a:avLst/>
                        </a:prstGeom>
                      </pic:spPr>
                    </pic:pic>
                  </a:graphicData>
                </a:graphic>
              </wp:inline>
            </w:drawing>
          </w:r>
        </w:sdtContent>
      </w:sdt>
    </w:p>
    <w:sectPr w:rsidR="00CE1021" w:rsidSect="00F27DCD">
      <w:headerReference w:type="default" r:id="rId8"/>
      <w:footerReference w:type="default" r:id="rId9"/>
      <w:pgSz w:w="11907" w:h="16840" w:code="9"/>
      <w:pgMar w:top="1701" w:right="1701" w:bottom="170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133" w:rsidRDefault="00964133">
      <w:r>
        <w:separator/>
      </w:r>
    </w:p>
  </w:endnote>
  <w:endnote w:type="continuationSeparator" w:id="0">
    <w:p w:rsidR="00964133" w:rsidRDefault="00964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83A24">
    <w:pPr>
      <w:pStyle w:val="a5"/>
      <w:jc w:val="center"/>
      <w:rPr>
        <w:rStyle w:val="a8"/>
      </w:rPr>
    </w:pPr>
    <w:r>
      <w:rPr>
        <w:rStyle w:val="a8"/>
      </w:rPr>
      <w:fldChar w:fldCharType="begin"/>
    </w:r>
    <w:r>
      <w:rPr>
        <w:rStyle w:val="a8"/>
      </w:rPr>
      <w:instrText xml:space="preserve"> PAGE </w:instrText>
    </w:r>
    <w:r>
      <w:rPr>
        <w:rStyle w:val="a8"/>
      </w:rPr>
      <w:fldChar w:fldCharType="separate"/>
    </w:r>
    <w:r w:rsidR="007C41FA">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7C41FA">
      <w:rPr>
        <w:rStyle w:val="a8"/>
        <w:rtl/>
      </w:rPr>
      <w:t>4</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133" w:rsidRDefault="00964133">
      <w:r>
        <w:separator/>
      </w:r>
    </w:p>
  </w:footnote>
  <w:footnote w:type="continuationSeparator" w:id="0">
    <w:p w:rsidR="00964133" w:rsidRDefault="00964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83A24">
    <w:pPr>
      <w:pStyle w:val="a3"/>
      <w:jc w:val="center"/>
      <w:rPr>
        <w:rFonts w:cs="FrankRuehl"/>
        <w:noProof w:val="0"/>
        <w:sz w:val="28"/>
        <w:szCs w:val="28"/>
        <w:rtl/>
      </w:rPr>
    </w:pPr>
    <w:r>
      <w:rPr>
        <w:rFonts w:cs="FrankRuehl"/>
        <w:sz w:val="28"/>
        <w:szCs w:val="28"/>
      </w:rPr>
      <w:drawing>
        <wp:inline distT="0" distB="0" distL="0" distR="0" wp14:anchorId="112500BD" wp14:editId="539A0B3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183A24">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964133">
          <w:pPr>
            <w:rPr>
              <w:b/>
              <w:bCs/>
              <w:noProof w:val="0"/>
              <w:sz w:val="26"/>
              <w:szCs w:val="26"/>
              <w:rtl/>
            </w:rPr>
          </w:pPr>
        </w:p>
      </w:tc>
      <w:sdt>
        <w:sdtPr>
          <w:rPr>
            <w:rtl/>
          </w:rPr>
          <w:alias w:val="1456"/>
          <w:tag w:val="1456"/>
          <w:id w:val="-1143425472"/>
          <w:text/>
        </w:sdtPr>
        <w:sdtEndPr/>
        <w:sdtContent>
          <w:tc>
            <w:tcPr>
              <w:tcW w:w="3674" w:type="dxa"/>
            </w:tcPr>
            <w:p w:rsidR="002914D6" w:rsidRDefault="00183A24">
              <w:pPr>
                <w:pStyle w:val="a3"/>
                <w:jc w:val="right"/>
                <w:rPr>
                  <w:b/>
                  <w:bCs/>
                  <w:noProof w:val="0"/>
                  <w:sz w:val="26"/>
                  <w:szCs w:val="26"/>
                  <w:rtl/>
                </w:rPr>
              </w:pPr>
              <w:r>
                <w:rPr>
                  <w:b/>
                  <w:bCs/>
                  <w:noProof w:val="0"/>
                  <w:sz w:val="26"/>
                  <w:szCs w:val="26"/>
                  <w:rtl/>
                </w:rPr>
                <w:t>18 אוגוסט 2024</w:t>
              </w:r>
            </w:p>
          </w:tc>
        </w:sdtContent>
      </w:sdt>
    </w:tr>
    <w:tr w:rsidR="002914D6">
      <w:trPr>
        <w:trHeight w:val="337"/>
        <w:jc w:val="center"/>
      </w:trPr>
      <w:tc>
        <w:tcPr>
          <w:tcW w:w="8721" w:type="dxa"/>
          <w:gridSpan w:val="2"/>
        </w:tcPr>
        <w:p w:rsidR="002914D6" w:rsidRDefault="00964133" w:rsidP="009F793C">
          <w:pPr>
            <w:rPr>
              <w:b/>
              <w:bCs/>
              <w:noProof w:val="0"/>
              <w:sz w:val="26"/>
              <w:szCs w:val="26"/>
              <w:rtl/>
            </w:rPr>
          </w:pPr>
          <w:sdt>
            <w:sdtPr>
              <w:rPr>
                <w:rtl/>
              </w:rPr>
              <w:alias w:val="1170"/>
              <w:tag w:val="1170"/>
              <w:id w:val="632838173"/>
              <w:text w:multiLine="1"/>
            </w:sdtPr>
            <w:sdtEndPr/>
            <w:sdtContent>
              <w:r w:rsidR="00183A24">
                <w:rPr>
                  <w:b/>
                  <w:bCs/>
                  <w:noProof w:val="0"/>
                  <w:sz w:val="26"/>
                  <w:szCs w:val="26"/>
                  <w:rtl/>
                </w:rPr>
                <w:t>תמ"ש</w:t>
              </w:r>
            </w:sdtContent>
          </w:sdt>
          <w:r w:rsidR="00183A24">
            <w:rPr>
              <w:b/>
              <w:bCs/>
              <w:noProof w:val="0"/>
              <w:sz w:val="26"/>
              <w:szCs w:val="26"/>
              <w:rtl/>
            </w:rPr>
            <w:t xml:space="preserve"> </w:t>
          </w:r>
          <w:sdt>
            <w:sdtPr>
              <w:rPr>
                <w:rtl/>
              </w:rPr>
              <w:alias w:val="1171"/>
              <w:tag w:val="1171"/>
              <w:id w:val="-1684506308"/>
              <w:text w:multiLine="1"/>
            </w:sdtPr>
            <w:sdtEndPr/>
            <w:sdtContent>
              <w:r w:rsidR="00183A24">
                <w:rPr>
                  <w:b/>
                  <w:bCs/>
                  <w:noProof w:val="0"/>
                  <w:sz w:val="26"/>
                  <w:szCs w:val="26"/>
                  <w:rtl/>
                </w:rPr>
                <w:t>36941-01-22</w:t>
              </w:r>
            </w:sdtContent>
          </w:sdt>
          <w:r w:rsidR="00183A24">
            <w:rPr>
              <w:b/>
              <w:bCs/>
              <w:noProof w:val="0"/>
              <w:sz w:val="26"/>
              <w:szCs w:val="26"/>
              <w:rtl/>
            </w:rPr>
            <w:t xml:space="preserve"> </w:t>
          </w:r>
          <w:sdt>
            <w:sdtPr>
              <w:rPr>
                <w:rtl/>
              </w:rPr>
              <w:alias w:val="1172"/>
              <w:tag w:val="1172"/>
              <w:id w:val="1484202908"/>
              <w:text w:multiLine="1"/>
            </w:sdtPr>
            <w:sdtEndPr/>
            <w:sdtContent>
              <w:r w:rsidR="009F793C">
                <w:rPr>
                  <w:rFonts w:hint="cs"/>
                  <w:b/>
                  <w:bCs/>
                  <w:noProof w:val="0"/>
                  <w:sz w:val="26"/>
                  <w:szCs w:val="26"/>
                  <w:rtl/>
                </w:rPr>
                <w:t>פלונית</w:t>
              </w:r>
              <w:r w:rsidR="00183A24">
                <w:rPr>
                  <w:b/>
                  <w:bCs/>
                  <w:noProof w:val="0"/>
                  <w:sz w:val="26"/>
                  <w:szCs w:val="26"/>
                  <w:rtl/>
                </w:rPr>
                <w:t xml:space="preserve"> נ' </w:t>
              </w:r>
              <w:r w:rsidR="009F793C">
                <w:rPr>
                  <w:rFonts w:hint="cs"/>
                  <w:b/>
                  <w:bCs/>
                  <w:noProof w:val="0"/>
                  <w:sz w:val="26"/>
                  <w:szCs w:val="26"/>
                  <w:rtl/>
                </w:rPr>
                <w:t>פלוני</w:t>
              </w:r>
            </w:sdtContent>
          </w:sdt>
        </w:p>
        <w:p w:rsidR="002914D6" w:rsidRDefault="00964133">
          <w:pPr>
            <w:rPr>
              <w:rtl/>
            </w:rPr>
          </w:pPr>
        </w:p>
        <w:p w:rsidR="00C72900" w:rsidRDefault="00964133">
          <w:pPr>
            <w:rPr>
              <w:rtl/>
            </w:rPr>
          </w:pPr>
        </w:p>
      </w:tc>
    </w:tr>
  </w:tbl>
  <w:p w:rsidR="002914D6" w:rsidRDefault="00183A24">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FC3064"/>
    <w:multiLevelType w:val="hybridMultilevel"/>
    <w:tmpl w:val="7AFA58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E1B"/>
    <w:rsid w:val="00183A24"/>
    <w:rsid w:val="006C1A3A"/>
    <w:rsid w:val="006D64EA"/>
    <w:rsid w:val="007272DA"/>
    <w:rsid w:val="007C41FA"/>
    <w:rsid w:val="00964133"/>
    <w:rsid w:val="009F244E"/>
    <w:rsid w:val="009F793C"/>
    <w:rsid w:val="00AD3E1B"/>
    <w:rsid w:val="00C2697D"/>
    <w:rsid w:val="00CE1021"/>
    <w:rsid w:val="00CF084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9F1CAE-DAD4-41E3-9E9F-1CF5A66BE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A24"/>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83A24"/>
    <w:pPr>
      <w:tabs>
        <w:tab w:val="center" w:pos="4153"/>
        <w:tab w:val="right" w:pos="8306"/>
      </w:tabs>
    </w:pPr>
  </w:style>
  <w:style w:type="character" w:customStyle="1" w:styleId="a4">
    <w:name w:val="כותרת עליונה תו"/>
    <w:basedOn w:val="a0"/>
    <w:link w:val="a3"/>
    <w:rsid w:val="00183A24"/>
    <w:rPr>
      <w:rFonts w:ascii="Times New Roman" w:eastAsia="Times New Roman" w:hAnsi="Times New Roman" w:cs="David"/>
      <w:noProof/>
      <w:sz w:val="24"/>
      <w:szCs w:val="24"/>
    </w:rPr>
  </w:style>
  <w:style w:type="paragraph" w:styleId="a5">
    <w:name w:val="footer"/>
    <w:basedOn w:val="a"/>
    <w:link w:val="a6"/>
    <w:rsid w:val="00183A24"/>
    <w:pPr>
      <w:tabs>
        <w:tab w:val="center" w:pos="4153"/>
        <w:tab w:val="right" w:pos="8306"/>
      </w:tabs>
    </w:pPr>
  </w:style>
  <w:style w:type="character" w:customStyle="1" w:styleId="a6">
    <w:name w:val="כותרת תחתונה תו"/>
    <w:basedOn w:val="a0"/>
    <w:link w:val="a5"/>
    <w:rsid w:val="00183A24"/>
    <w:rPr>
      <w:rFonts w:ascii="Times New Roman" w:eastAsia="Times New Roman" w:hAnsi="Times New Roman" w:cs="David"/>
      <w:noProof/>
      <w:sz w:val="24"/>
      <w:szCs w:val="24"/>
    </w:rPr>
  </w:style>
  <w:style w:type="table" w:styleId="a7">
    <w:name w:val="Table Grid"/>
    <w:basedOn w:val="a1"/>
    <w:rsid w:val="00183A2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183A24"/>
  </w:style>
  <w:style w:type="table" w:styleId="a9">
    <w:name w:val="Grid Table Light"/>
    <w:basedOn w:val="a1"/>
    <w:uiPriority w:val="40"/>
    <w:rsid w:val="00183A24"/>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a">
    <w:name w:val="List Paragraph"/>
    <w:basedOn w:val="a"/>
    <w:uiPriority w:val="34"/>
    <w:qFormat/>
    <w:rsid w:val="00183A24"/>
    <w:pPr>
      <w:spacing w:after="160" w:line="256" w:lineRule="auto"/>
      <w:ind w:left="720"/>
      <w:contextualSpacing/>
    </w:pPr>
    <w:rPr>
      <w:rFonts w:asciiTheme="minorHAnsi" w:eastAsiaTheme="minorHAnsi" w:hAnsiTheme="minorHAnsi" w:cstheme="minorBidi"/>
      <w:noProof w:val="0"/>
      <w:sz w:val="22"/>
      <w:szCs w:val="22"/>
    </w:rPr>
  </w:style>
  <w:style w:type="character" w:styleId="ab">
    <w:name w:val="line number"/>
    <w:basedOn w:val="a0"/>
    <w:uiPriority w:val="99"/>
    <w:semiHidden/>
    <w:unhideWhenUsed/>
    <w:rsid w:val="00183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732</Words>
  <Characters>3662</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גרמאו מנגיסטו</cp:lastModifiedBy>
  <cp:revision>2</cp:revision>
  <dcterms:created xsi:type="dcterms:W3CDTF">2024-09-16T09:47:00Z</dcterms:created>
  <dcterms:modified xsi:type="dcterms:W3CDTF">2024-09-16T09:47:00Z</dcterms:modified>
</cp:coreProperties>
</file>